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08" w:after="108"/>
        <w:ind w:hanging="0"/>
        <w:jc w:val="center"/>
        <w:rPr/>
      </w:pPr>
      <w:hyperlink r:id="rId2">
        <w:r>
          <w:rPr>
            <w:rStyle w:val="Style13"/>
          </w:rPr>
          <w:t>Приказ Министерства культуры РФ от 16 июля 2013 г. N 998 "Об утверждении перечня дополнительных предпрофессиональных программ в области искусств" (с изменениями и дополнениями)</w:t>
        </w:r>
      </w:hyperlink>
    </w:p>
    <w:p>
      <w:pPr>
        <w:pStyle w:val="Style23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1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25 ноября 2015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 </w:t>
      </w:r>
      <w:hyperlink r:id="rId3">
        <w:r>
          <w:rPr>
            <w:rStyle w:val="Style13"/>
          </w:rPr>
          <w:t>пунктом 4 статьи 83</w:t>
        </w:r>
      </w:hyperlink>
      <w:r>
        <w:rPr>
          <w:rStyle w:val="Style15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7598) приказываю:</w:t>
      </w:r>
    </w:p>
    <w:p>
      <w:pPr>
        <w:pStyle w:val="Normal"/>
        <w:bidi w:val="0"/>
        <w:ind w:firstLine="720"/>
        <w:rPr/>
      </w:pPr>
      <w:bookmarkStart w:id="0" w:name="sub_1001"/>
      <w:bookmarkEnd w:id="0"/>
      <w:r>
        <w:rPr>
          <w:rStyle w:val="Style15"/>
        </w:rPr>
        <w:t xml:space="preserve">1. Утвердить перечень дополнительных предпрофессиональных программ в области искусств согласно </w:t>
      </w:r>
      <w:hyperlink w:anchor="sub_1000">
        <w:r>
          <w:rPr>
            <w:rStyle w:val="Style13"/>
          </w:rPr>
          <w:t>приложению</w:t>
        </w:r>
      </w:hyperlink>
      <w:r>
        <w:rPr>
          <w:rStyle w:val="Style15"/>
        </w:rPr>
        <w:t xml:space="preserve"> к настоящему приказу.</w:t>
      </w:r>
    </w:p>
    <w:p>
      <w:pPr>
        <w:pStyle w:val="Normal"/>
        <w:bidi w:val="0"/>
        <w:ind w:firstLine="720"/>
        <w:rPr/>
      </w:pPr>
      <w:bookmarkStart w:id="1" w:name="sub_1001"/>
      <w:bookmarkStart w:id="2" w:name="sub_1002"/>
      <w:bookmarkEnd w:id="1"/>
      <w:bookmarkEnd w:id="2"/>
      <w:r>
        <w:rPr>
          <w:rStyle w:val="Style15"/>
        </w:rPr>
        <w:t>2. Контроль за исполнением настоящего приказа возложить на статс-секретаря - заместителя Министра Г.П. Ивлиева.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" w:name="sub_1002"/>
      <w:bookmarkStart w:id="4" w:name="sub_1002"/>
      <w:bookmarkEnd w:id="4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Министр</w:t>
            </w:r>
          </w:p>
        </w:tc>
        <w:tc>
          <w:tcPr>
            <w:tcW w:w="3433" w:type="dxa"/>
            <w:tcBorders/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В.Р. Мединский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18"/>
        <w:bidi w:val="0"/>
        <w:ind w:hanging="0"/>
        <w:jc w:val="left"/>
        <w:rPr/>
      </w:pPr>
      <w:r>
        <w:rPr/>
        <w:t>Зарегистрировано в Минюсте РФ 2 августа 2013 г.</w:t>
        <w:br/>
        <w:t>Регистрационный N 29242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16"/>
        <w:bidi w:val="0"/>
        <w:ind w:left="170" w:right="170" w:hanging="0"/>
        <w:jc w:val="left"/>
        <w:rPr/>
      </w:pPr>
      <w:bookmarkStart w:id="5" w:name="sub_1000"/>
      <w:bookmarkEnd w:id="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0"/>
        <w:bidi w:val="0"/>
        <w:ind w:left="170" w:right="170" w:hanging="0"/>
        <w:jc w:val="left"/>
        <w:rPr/>
      </w:pPr>
      <w:bookmarkStart w:id="6" w:name="sub_1000"/>
      <w:bookmarkEnd w:id="6"/>
      <w:r>
        <w:rPr/>
        <w:t xml:space="preserve"> </w:t>
      </w:r>
      <w:hyperlink r:id="rId4">
        <w:r>
          <w:rPr>
            <w:rStyle w:val="Style13"/>
            <w:shd w:fill="F0F0F0" w:val="clear"/>
          </w:rPr>
          <w:t>Приказом</w:t>
        </w:r>
      </w:hyperlink>
      <w:r>
        <w:rPr>
          <w:shd w:fill="F0F0F0" w:val="clear"/>
        </w:rPr>
        <w:t xml:space="preserve"> Минкультуры России от 25 ноября 2015 г. N 2861 приложение изложено в новой редакции</w:t>
      </w:r>
    </w:p>
    <w:p>
      <w:pPr>
        <w:pStyle w:val="Style20"/>
        <w:bidi w:val="0"/>
        <w:ind w:left="170" w:right="170" w:hanging="0"/>
        <w:jc w:val="left"/>
        <w:rPr/>
      </w:pPr>
      <w:r>
        <w:rPr/>
        <w:t xml:space="preserve"> </w:t>
      </w:r>
      <w:hyperlink r:id="rId5">
        <w:r>
          <w:rPr>
            <w:rStyle w:val="Style13"/>
            <w:shd w:fill="F0F0F0" w:val="clear"/>
          </w:rPr>
          <w:t>См. текст приложения в предыдущей редакции</w:t>
        </w:r>
      </w:hyperlink>
    </w:p>
    <w:p>
      <w:pPr>
        <w:pStyle w:val="Normal"/>
        <w:bidi w:val="0"/>
        <w:ind w:firstLine="698"/>
        <w:jc w:val="right"/>
        <w:rPr/>
      </w:pPr>
      <w:r>
        <w:rPr>
          <w:rStyle w:val="Style14"/>
        </w:rPr>
        <w:t>Приложение</w:t>
        <w:br/>
        <w:t xml:space="preserve">к </w:t>
      </w:r>
      <w:hyperlink w:anchor="sub_0">
        <w:r>
          <w:rPr>
            <w:rStyle w:val="Style13"/>
          </w:rPr>
          <w:t>приказу</w:t>
        </w:r>
      </w:hyperlink>
      <w:r>
        <w:rPr>
          <w:rStyle w:val="Style14"/>
        </w:rPr>
        <w:t xml:space="preserve"> Министерства культуры РФ</w:t>
        <w:br/>
        <w:t>от 16 июля 2013 г. N 998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  <w:t>Перечень</w:t>
        <w:br/>
        <w:t xml:space="preserve"> дополнительных предпрофессиональных программ в области искусств</w:t>
      </w:r>
    </w:p>
    <w:p>
      <w:pPr>
        <w:pStyle w:val="Style23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1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25 ноября 2015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199"/>
        <w:gridCol w:w="5040"/>
      </w:tblGrid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программы</w:t>
            </w:r>
          </w:p>
        </w:tc>
      </w:tr>
      <w:tr>
        <w:trPr/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" w:name="sub_100"/>
            <w:r>
              <w:rPr/>
              <w:t>Музыкальное искусство</w:t>
            </w:r>
            <w:bookmarkEnd w:id="7"/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8" w:name="sub_101"/>
            <w:r>
              <w:rPr/>
              <w:t>1.</w:t>
            </w:r>
            <w:bookmarkEnd w:id="8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Фортепиано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9" w:name="sub_102"/>
            <w:r>
              <w:rPr/>
              <w:t>2.</w:t>
            </w:r>
            <w:bookmarkEnd w:id="9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Струнные инструменты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0" w:name="sub_103"/>
            <w:r>
              <w:rPr/>
              <w:t>3.</w:t>
            </w:r>
            <w:bookmarkEnd w:id="10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Духовые и ударные инструменты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1" w:name="sub_104"/>
            <w:r>
              <w:rPr/>
              <w:t>4.</w:t>
            </w:r>
            <w:bookmarkEnd w:id="11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Народные инструменты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2" w:name="sub_105"/>
            <w:r>
              <w:rPr/>
              <w:t>5.</w:t>
            </w:r>
            <w:bookmarkEnd w:id="12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Инструменты эстрадного оркестра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3" w:name="sub_106"/>
            <w:r>
              <w:rPr/>
              <w:t>6.</w:t>
            </w:r>
            <w:bookmarkEnd w:id="13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Хоровое пение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4" w:name="sub_107"/>
            <w:r>
              <w:rPr/>
              <w:t>7.</w:t>
            </w:r>
            <w:bookmarkEnd w:id="14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Музыкальный фольклор</w:t>
            </w:r>
          </w:p>
        </w:tc>
      </w:tr>
      <w:tr>
        <w:trPr/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" w:name="sub_200"/>
            <w:r>
              <w:rPr/>
              <w:t>Изобразительное искусство</w:t>
            </w:r>
            <w:bookmarkEnd w:id="15"/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6" w:name="sub_201"/>
            <w:r>
              <w:rPr/>
              <w:t>1.</w:t>
            </w:r>
            <w:bookmarkEnd w:id="16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Живопись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7" w:name="sub_202"/>
            <w:r>
              <w:rPr/>
              <w:t>2.</w:t>
            </w:r>
            <w:bookmarkEnd w:id="17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Акварельная живопись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8" w:name="sub_203"/>
            <w:r>
              <w:rPr/>
              <w:t>3.</w:t>
            </w:r>
            <w:bookmarkEnd w:id="18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Декоративно-прикладное творчество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9" w:name="sub_204"/>
            <w:r>
              <w:rPr/>
              <w:t>4.</w:t>
            </w:r>
            <w:bookmarkEnd w:id="19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Дизайн</w:t>
            </w:r>
          </w:p>
        </w:tc>
      </w:tr>
      <w:tr>
        <w:trPr/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" w:name="sub_300"/>
            <w:r>
              <w:rPr/>
              <w:t>Хореографическое искусство</w:t>
            </w:r>
            <w:bookmarkEnd w:id="20"/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1" w:name="sub_301"/>
            <w:r>
              <w:rPr/>
              <w:t>1.</w:t>
            </w:r>
            <w:bookmarkEnd w:id="21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Хореографическое творчество</w:t>
            </w:r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2" w:name="sub_302"/>
            <w:r>
              <w:rPr/>
              <w:t>2.</w:t>
            </w:r>
            <w:bookmarkEnd w:id="22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Искусство балета</w:t>
            </w:r>
          </w:p>
        </w:tc>
      </w:tr>
      <w:tr>
        <w:trPr/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3" w:name="sub_400"/>
            <w:r>
              <w:rPr/>
              <w:t>Театральное искусство</w:t>
            </w:r>
            <w:bookmarkEnd w:id="23"/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4" w:name="sub_401"/>
            <w:r>
              <w:rPr/>
              <w:t>1.</w:t>
            </w:r>
            <w:bookmarkEnd w:id="24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Искусство театра</w:t>
            </w:r>
          </w:p>
        </w:tc>
      </w:tr>
      <w:tr>
        <w:trPr/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" w:name="sub_500"/>
            <w:r>
              <w:rPr/>
              <w:t>Цирковое искусство</w:t>
            </w:r>
            <w:bookmarkEnd w:id="25"/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6" w:name="sub_501"/>
            <w:r>
              <w:rPr/>
              <w:t>1.</w:t>
            </w:r>
            <w:bookmarkEnd w:id="26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Искусство цирка</w:t>
            </w:r>
          </w:p>
        </w:tc>
      </w:tr>
      <w:tr>
        <w:trPr/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" w:name="sub_600"/>
            <w:r>
              <w:rPr/>
              <w:t>Архитектурное искусство</w:t>
            </w:r>
            <w:bookmarkEnd w:id="27"/>
          </w:p>
        </w:tc>
      </w:tr>
      <w:tr>
        <w:trPr/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8" w:name="sub_601"/>
            <w:r>
              <w:rPr/>
              <w:t>1.</w:t>
            </w:r>
            <w:bookmarkEnd w:id="28"/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Архитектура</w:t>
            </w:r>
          </w:p>
        </w:tc>
      </w:tr>
    </w:tbl>
    <w:p>
      <w:pPr>
        <w:pStyle w:val="Normal"/>
        <w:widowControl w:val="false"/>
        <w:bidi w:val="0"/>
        <w:ind w:firstLine="72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 CYR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12.09.2023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left="0" w:hanging="0"/>
      <w:jc w:val="left"/>
      <w:rPr/>
    </w:pPr>
    <w:r>
      <w:rPr/>
      <w:t>Приказ Министерства культуры РФ от 16 июля 2013 г. N 998 "Об утверждении перечня дополнительных…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Комментарий"/>
    <w:basedOn w:val="Style17"/>
    <w:next w:val="Normal"/>
    <w:qFormat/>
    <w:pPr>
      <w:spacing w:before="75" w:after="0"/>
      <w:ind w:left="170" w:hanging="0"/>
    </w:pPr>
    <w:rPr>
      <w:color w:val="353842"/>
    </w:rPr>
  </w:style>
  <w:style w:type="paragraph" w:styleId="Style17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18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19">
    <w:name w:val="Нормальный (таблица)"/>
    <w:basedOn w:val="Normal"/>
    <w:next w:val="Normal"/>
    <w:qFormat/>
    <w:pPr>
      <w:ind w:hanging="0"/>
    </w:pPr>
    <w:rPr/>
  </w:style>
  <w:style w:type="paragraph" w:styleId="Style20">
    <w:name w:val="Информация о версии"/>
    <w:basedOn w:val="Style16"/>
    <w:next w:val="Normal"/>
    <w:qFormat/>
    <w:pPr>
      <w:spacing w:before="75" w:after="0"/>
      <w:ind w:left="170" w:hanging="0"/>
    </w:pPr>
    <w:rPr>
      <w:i/>
      <w:color w:val="353842"/>
    </w:rPr>
  </w:style>
  <w:style w:type="paragraph" w:styleId="Style21">
    <w:name w:val="Информация об изменениях"/>
    <w:basedOn w:val="Style22"/>
    <w:next w:val="Normal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2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</w:rPr>
  </w:style>
  <w:style w:type="paragraph" w:styleId="Style23">
    <w:name w:val="Подзаголовок для информации об изменениях"/>
    <w:basedOn w:val="Style22"/>
    <w:next w:val="Normal"/>
    <w:qFormat/>
    <w:pPr>
      <w:ind w:firstLine="720"/>
    </w:pPr>
    <w:rPr>
      <w:b/>
      <w:color w:val="353842"/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0431270/0" TargetMode="External"/><Relationship Id="rId3" Type="http://schemas.openxmlformats.org/officeDocument/2006/relationships/hyperlink" Target="http://ivo.garant.ru/document/redirect/70291362/108969" TargetMode="External"/><Relationship Id="rId4" Type="http://schemas.openxmlformats.org/officeDocument/2006/relationships/hyperlink" Target="http://ivo.garant.ru/document/redirect/71291584/1" TargetMode="External"/><Relationship Id="rId5" Type="http://schemas.openxmlformats.org/officeDocument/2006/relationships/hyperlink" Target="http://ivo.garant.ru/document/redirect/57407232/100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